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pPr>
      <w:r>
        <w:rPr>
          <w:b/>
          <w:lang w:val="sr-CS" w:eastAsia="sr-Latn-RS"/>
        </w:rPr>
        <w:t>ТЕХНИЧК</w:t>
      </w:r>
      <w:r>
        <w:rPr>
          <w:b/>
          <w:lang w:val="sr-Latn-RS" w:eastAsia="sr-Latn-RS"/>
        </w:rPr>
        <w:t xml:space="preserve">A </w:t>
      </w:r>
      <w:r>
        <w:rPr>
          <w:b/>
          <w:lang w:val="sr-RS" w:eastAsia="sr-Latn-RS"/>
        </w:rPr>
        <w:t xml:space="preserve">СПЕЦИФИКАЦИЈА </w:t>
      </w:r>
    </w:p>
    <w:p>
      <w:pPr>
        <w:pStyle w:val="Normal"/>
        <w:jc w:val="center"/>
        <w:rPr/>
      </w:pPr>
      <w:r>
        <w:rPr/>
      </w:r>
    </w:p>
    <w:p>
      <w:pPr>
        <w:pStyle w:val="Normal"/>
        <w:jc w:val="center"/>
        <w:rPr/>
      </w:pPr>
      <w:r>
        <w:rPr>
          <w:color w:val="000000"/>
          <w:lang w:val="sr-RS"/>
        </w:rPr>
        <w:t>Услуге морају да се реализују у складу са основним захтевима и условима Наручиоца:</w:t>
      </w:r>
    </w:p>
    <w:p>
      <w:pPr>
        <w:pStyle w:val="Normal"/>
        <w:ind w:firstLine="708"/>
        <w:jc w:val="both"/>
        <w:rPr>
          <w:i/>
          <w:i/>
          <w:color w:val="000000"/>
          <w:lang w:val="sr-Latn-CS" w:eastAsia="sr-Latn-RS"/>
        </w:rPr>
      </w:pPr>
      <w:r>
        <w:rPr>
          <w:i/>
          <w:color w:val="000000"/>
          <w:lang w:val="sr-Latn-CS" w:eastAsia="sr-Latn-RS"/>
        </w:rPr>
      </w:r>
    </w:p>
    <w:p>
      <w:pPr>
        <w:pStyle w:val="Normal"/>
        <w:jc w:val="both"/>
        <w:rPr>
          <w:i/>
          <w:i/>
          <w:color w:val="000000"/>
          <w:lang w:val="sr-CS" w:eastAsia="en-US"/>
        </w:rPr>
      </w:pPr>
      <w:r>
        <w:rPr>
          <w:i/>
          <w:color w:val="000000"/>
          <w:lang w:val="sr-CS" w:eastAsia="en-US"/>
        </w:rPr>
      </w:r>
    </w:p>
    <w:p>
      <w:pPr>
        <w:pStyle w:val="Normal"/>
        <w:widowControl w:val="false"/>
        <w:numPr>
          <w:ilvl w:val="0"/>
          <w:numId w:val="5"/>
        </w:numPr>
        <w:spacing w:lineRule="auto" w:line="276" w:before="0" w:after="60"/>
        <w:rPr/>
      </w:pPr>
      <w:r>
        <w:rPr>
          <w:color w:val="000000"/>
          <w:kern w:val="2"/>
          <w:lang w:eastAsia="sr-Latn-RS"/>
        </w:rPr>
        <w:t>O</w:t>
      </w:r>
      <w:r>
        <w:rPr>
          <w:color w:val="000000"/>
          <w:kern w:val="2"/>
          <w:lang w:val="sr-RS" w:eastAsia="sr-Latn-RS"/>
        </w:rPr>
        <w:t xml:space="preserve">квирни </w:t>
      </w:r>
      <w:r>
        <w:rPr>
          <w:color w:val="000000"/>
          <w:kern w:val="2"/>
          <w:lang w:val="sr-CS" w:eastAsia="sr-Latn-RS"/>
        </w:rPr>
        <w:t>број СИМ картица у мрежи (ВПН групи) Наручиоца је 70</w:t>
      </w:r>
      <w:r>
        <w:rPr>
          <w:color w:val="000000"/>
          <w:kern w:val="2"/>
          <w:lang w:val="sr-Latn-RS" w:eastAsia="sr-Latn-RS"/>
        </w:rPr>
        <w:t xml:space="preserve"> </w:t>
      </w:r>
      <w:r>
        <w:rPr>
          <w:color w:val="000000"/>
          <w:kern w:val="2"/>
          <w:lang w:val="sr-CS" w:eastAsia="sr-Latn-RS"/>
        </w:rPr>
        <w:t xml:space="preserve">уз могућност накнадног повећања или смањења броја </w:t>
      </w:r>
      <w:r>
        <w:rPr>
          <w:color w:val="000000"/>
          <w:kern w:val="2"/>
          <w:lang w:val="sr-RS" w:eastAsia="sr-Latn-RS"/>
        </w:rPr>
        <w:t>истих</w:t>
      </w:r>
      <w:r>
        <w:rPr>
          <w:color w:val="000000"/>
          <w:kern w:val="2"/>
          <w:lang w:val="sr-CS" w:eastAsia="sr-Latn-RS"/>
        </w:rPr>
        <w:t>;</w:t>
      </w:r>
      <w:r>
        <w:rPr>
          <w:rFonts w:eastAsia="ArialMT"/>
          <w:color w:val="000000"/>
          <w:kern w:val="2"/>
          <w:lang w:val="ru-RU" w:eastAsia="ar-SA"/>
        </w:rPr>
        <w:t xml:space="preserve"> </w:t>
      </w:r>
      <w:r>
        <w:rPr>
          <w:color w:val="000000"/>
          <w:kern w:val="2"/>
          <w:lang w:val="sr-RS" w:eastAsia="sr-Latn-RS"/>
        </w:rPr>
        <w:t>Наручилац</w:t>
      </w:r>
      <w:r>
        <w:rPr>
          <w:color w:val="000000"/>
          <w:kern w:val="2"/>
          <w:lang w:val="ru-RU" w:eastAsia="sr-Latn-RS"/>
        </w:rPr>
        <w:t xml:space="preserve"> задржава право да у току уговореног периода према својим потребама проширује групу</w:t>
      </w:r>
      <w:r>
        <w:rPr>
          <w:color w:val="000000"/>
          <w:kern w:val="2"/>
          <w:lang w:val="sr-Latn-RS" w:eastAsia="sr-Latn-RS"/>
        </w:rPr>
        <w:t xml:space="preserve"> </w:t>
      </w:r>
      <w:r>
        <w:rPr>
          <w:color w:val="000000"/>
          <w:kern w:val="2"/>
          <w:lang w:val="ru-RU" w:eastAsia="sr-Latn-RS"/>
        </w:rPr>
        <w:t xml:space="preserve">новим картицама. Активирање нових картица не значи продужење уговорене обавезе. Цене услуга за новоукључене бројеве су идентичне ценама из понуде </w:t>
      </w:r>
      <w:r>
        <w:rPr>
          <w:rFonts w:eastAsia="Calibri"/>
          <w:color w:val="000000"/>
          <w:kern w:val="2"/>
          <w:lang w:val="sr-Latn-RS" w:eastAsia="sr-Latn-RS"/>
        </w:rPr>
        <w:t>(</w:t>
      </w:r>
      <w:r>
        <w:rPr>
          <w:rFonts w:eastAsia="Calibri"/>
          <w:color w:val="000000"/>
          <w:kern w:val="2"/>
          <w:lang w:val="sr-RS" w:eastAsia="sr-Latn-RS"/>
        </w:rPr>
        <w:t>без обавезе продужења уговора и накнаде за нове кориснике)</w:t>
      </w:r>
      <w:r>
        <w:rPr>
          <w:color w:val="000000"/>
          <w:kern w:val="2"/>
          <w:lang w:val="sr-RS" w:eastAsia="sr-Latn-RS"/>
        </w:rPr>
        <w:t>.</w:t>
      </w:r>
    </w:p>
    <w:p>
      <w:pPr>
        <w:pStyle w:val="Normal"/>
        <w:widowControl w:val="false"/>
        <w:numPr>
          <w:ilvl w:val="0"/>
          <w:numId w:val="5"/>
        </w:numPr>
        <w:tabs>
          <w:tab w:val="clear" w:pos="720"/>
          <w:tab w:val="left" w:pos="700" w:leader="none"/>
        </w:tabs>
        <w:spacing w:lineRule="auto" w:line="276" w:before="0" w:after="200"/>
        <w:contextualSpacing/>
        <w:rPr/>
      </w:pPr>
      <w:r>
        <w:rPr>
          <w:rFonts w:eastAsia="Calibri"/>
          <w:color w:val="000000"/>
          <w:kern w:val="2"/>
          <w:lang w:val="sr-Latn-RS" w:eastAsia="sr-Latn-RS"/>
        </w:rPr>
        <w:t xml:space="preserve">Период уговарања је </w:t>
      </w:r>
      <w:r>
        <w:rPr>
          <w:rFonts w:eastAsia="Calibri"/>
          <w:color w:val="000000"/>
          <w:kern w:val="2"/>
          <w:lang w:val="sr-RS"/>
        </w:rPr>
        <w:t>24</w:t>
      </w:r>
      <w:r>
        <w:rPr>
          <w:rFonts w:eastAsia="Calibri"/>
          <w:color w:val="000000"/>
          <w:kern w:val="2"/>
          <w:lang w:val="sr-Latn-RS" w:eastAsia="sr-Latn-RS"/>
        </w:rPr>
        <w:t xml:space="preserve"> месец</w:t>
      </w:r>
      <w:r>
        <w:rPr>
          <w:rFonts w:eastAsia="Calibri"/>
          <w:color w:val="000000"/>
          <w:kern w:val="2"/>
          <w:lang w:val="sr-RS" w:eastAsia="sr-Latn-RS"/>
        </w:rPr>
        <w:t>и.</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Омогућена опција скраћеног бирања бројева са 4 последње цифре, у ВПН саобраћају.</w:t>
      </w:r>
    </w:p>
    <w:p>
      <w:pPr>
        <w:pStyle w:val="Normal"/>
        <w:widowControl w:val="false"/>
        <w:numPr>
          <w:ilvl w:val="0"/>
          <w:numId w:val="5"/>
        </w:numPr>
        <w:tabs>
          <w:tab w:val="clear" w:pos="720"/>
          <w:tab w:val="left" w:pos="700" w:leader="none"/>
        </w:tabs>
        <w:spacing w:lineRule="auto" w:line="276" w:before="0" w:after="60"/>
        <w:rPr>
          <w:color w:val="000000"/>
          <w:kern w:val="2"/>
          <w:lang w:eastAsia="sr-Latn-RS"/>
        </w:rPr>
      </w:pPr>
      <w:r>
        <w:rPr>
          <w:color w:val="000000"/>
          <w:kern w:val="2"/>
          <w:lang w:eastAsia="sr-Latn-RS"/>
        </w:rPr>
        <w:t xml:space="preserve">Разговори унутар ВПН групе Наручиоца се обављају без накнаде, за 0,00 динара; </w:t>
      </w:r>
    </w:p>
    <w:p>
      <w:pPr>
        <w:pStyle w:val="Normal"/>
        <w:widowControl w:val="false"/>
        <w:numPr>
          <w:ilvl w:val="0"/>
          <w:numId w:val="5"/>
        </w:numPr>
        <w:tabs>
          <w:tab w:val="clear" w:pos="720"/>
          <w:tab w:val="left" w:pos="700" w:leader="none"/>
        </w:tabs>
        <w:spacing w:lineRule="auto" w:line="276" w:before="0" w:after="60"/>
        <w:rPr>
          <w:color w:val="000000"/>
          <w:kern w:val="2"/>
          <w:lang w:eastAsia="sr-Latn-RS"/>
        </w:rPr>
      </w:pPr>
      <w:r>
        <w:rPr>
          <w:color w:val="000000"/>
          <w:kern w:val="2"/>
          <w:lang w:eastAsia="sr-Latn-RS"/>
        </w:rPr>
        <w:t>Успостава везе се не наплаћује за разговоре ка свим мрежама.</w:t>
      </w:r>
    </w:p>
    <w:p>
      <w:pPr>
        <w:pStyle w:val="Normal"/>
        <w:widowControl w:val="false"/>
        <w:numPr>
          <w:ilvl w:val="0"/>
          <w:numId w:val="5"/>
        </w:numPr>
        <w:tabs>
          <w:tab w:val="clear" w:pos="720"/>
          <w:tab w:val="left" w:pos="700" w:leader="none"/>
        </w:tabs>
        <w:spacing w:lineRule="auto" w:line="276" w:before="0" w:after="60"/>
        <w:rPr>
          <w:color w:val="000000"/>
          <w:kern w:val="2"/>
          <w:lang w:eastAsia="sr-Latn-RS"/>
        </w:rPr>
      </w:pPr>
      <w:r>
        <w:rPr>
          <w:color w:val="000000"/>
          <w:kern w:val="2"/>
          <w:lang w:eastAsia="sr-Latn-RS"/>
        </w:rPr>
        <w:t>У наредни месец преносе се неискоришћени минути и СМС поруке ка свим мрежама у Србији из месечне накнаде .</w:t>
      </w:r>
    </w:p>
    <w:p>
      <w:pPr>
        <w:pStyle w:val="Normal"/>
        <w:widowControl w:val="false"/>
        <w:numPr>
          <w:ilvl w:val="0"/>
          <w:numId w:val="5"/>
        </w:numPr>
        <w:tabs>
          <w:tab w:val="clear" w:pos="720"/>
          <w:tab w:val="left" w:pos="700" w:leader="none"/>
        </w:tabs>
        <w:spacing w:lineRule="auto" w:line="276" w:before="0" w:after="60"/>
        <w:rPr>
          <w:color w:val="000000"/>
          <w:kern w:val="2"/>
          <w:lang w:eastAsia="sr-Latn-RS"/>
        </w:rPr>
      </w:pPr>
      <w:r>
        <w:rPr/>
        <w:t>За време трајања уговора, могућа је промена пакета, у зависности од потреба наручиоца</w:t>
      </w:r>
    </w:p>
    <w:p>
      <w:pPr>
        <w:pStyle w:val="Normal"/>
        <w:widowControl w:val="false"/>
        <w:numPr>
          <w:ilvl w:val="0"/>
          <w:numId w:val="5"/>
        </w:numPr>
        <w:tabs>
          <w:tab w:val="clear" w:pos="720"/>
          <w:tab w:val="left" w:pos="700" w:leader="none"/>
        </w:tabs>
        <w:spacing w:lineRule="auto" w:line="276" w:before="0" w:after="60"/>
        <w:rPr>
          <w:color w:val="000000"/>
          <w:kern w:val="2"/>
          <w:lang w:eastAsia="sr-Latn-RS"/>
        </w:rPr>
      </w:pPr>
      <w:r>
        <w:rPr>
          <w:color w:val="000000"/>
          <w:kern w:val="2"/>
          <w:lang w:eastAsia="sr-Latn-RS"/>
        </w:rPr>
        <w:t xml:space="preserve">Након потрошених минута и СМС порука укључени у месечну претплату пакета тарифирање се врши према ценовнику Понуђача с тим да цене не смеју бити веће од следећих износа (са ПДВ-ом): минут ка свим мрежама максимално 10 динара, СМС максимално 5 динара </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Могућност активације роминг тарифних додатака на захтев Наручиоца.</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Бесплатни позиви сервисних бројева изабраног оператера као и позиви према специјалним службама: полиција, хитна помоћ и ватрогасци.</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Опредељени буџет за набавку мобилних телефонских апарата је у износу од 1.</w:t>
      </w:r>
      <w:r>
        <w:rPr>
          <w:color w:val="000000"/>
          <w:kern w:val="2"/>
          <w:lang w:val="sr-RS" w:eastAsia="sr-Latn-RS"/>
        </w:rPr>
        <w:t>440</w:t>
      </w:r>
      <w:r>
        <w:rPr>
          <w:color w:val="000000"/>
          <w:kern w:val="2"/>
          <w:lang w:eastAsia="sr-Latn-RS"/>
        </w:rPr>
        <w:t>.000,00 динара (</w:t>
      </w:r>
      <w:r>
        <w:rPr>
          <w:color w:val="000000"/>
          <w:kern w:val="2"/>
          <w:lang w:val="sr-RS" w:eastAsia="sr-Latn-RS"/>
        </w:rPr>
        <w:t>са</w:t>
      </w:r>
      <w:r>
        <w:rPr>
          <w:color w:val="000000"/>
          <w:kern w:val="2"/>
          <w:lang w:eastAsia="sr-Latn-RS"/>
        </w:rPr>
        <w:t xml:space="preserve"> урачунатим ПДВ-ом); цена мобилних апарата је по званичним тарифама изабраног оператера за бизнис кориснике, на дан потписивања Уговора, а оверен ценовник мобилних телефонских апарата је саставни део овог Уговора; телефони се испоручују по цени од 1,20 дин. (са урачунатим ПДВ-ом), а буџет се умањује у износу малопродајне цене испоручених телефонских апарата; набавка телефонских апарата мора бити омогућена у току трајања Уговора, односно док се не потроши сав буџет.</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Могућност замене корисничке картице (у случају губитка, оштећења или неких других разлога), у року не дужем од 24 часа.</w:t>
      </w:r>
    </w:p>
    <w:p>
      <w:pPr>
        <w:pStyle w:val="Normal"/>
        <w:widowControl w:val="false"/>
        <w:numPr>
          <w:ilvl w:val="0"/>
          <w:numId w:val="5"/>
        </w:numPr>
        <w:tabs>
          <w:tab w:val="clear" w:pos="720"/>
          <w:tab w:val="left" w:pos="700" w:leader="none"/>
        </w:tabs>
        <w:spacing w:lineRule="auto" w:line="276" w:before="0" w:after="60"/>
        <w:rPr/>
      </w:pPr>
      <w:r>
        <w:rPr>
          <w:color w:val="000000"/>
          <w:kern w:val="2"/>
          <w:lang w:eastAsia="sr-Latn-RS"/>
        </w:rPr>
        <w:t>Задржавање телефонских бројева чланова групе Наручиоца.</w:t>
      </w:r>
    </w:p>
    <w:p>
      <w:pPr>
        <w:pStyle w:val="ListParagraph"/>
        <w:numPr>
          <w:ilvl w:val="0"/>
          <w:numId w:val="5"/>
        </w:numPr>
        <w:suppressAutoHyphens w:val="false"/>
        <w:rPr>
          <w:rFonts w:ascii="Times New Roman" w:hAnsi="Times New Roman"/>
          <w:sz w:val="24"/>
          <w:szCs w:val="24"/>
        </w:rPr>
      </w:pPr>
      <w:r>
        <w:rPr>
          <w:rFonts w:ascii="Times New Roman" w:hAnsi="Times New Roman"/>
          <w:sz w:val="24"/>
          <w:szCs w:val="24"/>
        </w:rPr>
        <w:t>За све пакете омогућити бесплатан и неограничен пренос података након потрошених МБ укључених у месечну претплату уз смањену брзину протока али не мању од 64 Кб/с;</w:t>
      </w:r>
    </w:p>
    <w:p>
      <w:pPr>
        <w:pStyle w:val="ListParagraph"/>
        <w:numPr>
          <w:ilvl w:val="0"/>
          <w:numId w:val="5"/>
        </w:numPr>
        <w:suppressAutoHyphens w:val="false"/>
        <w:spacing w:before="0" w:after="0"/>
        <w:contextualSpacing/>
        <w:jc w:val="both"/>
        <w:rPr>
          <w:rFonts w:ascii="Times New Roman" w:hAnsi="Times New Roman"/>
          <w:sz w:val="24"/>
          <w:szCs w:val="24"/>
        </w:rPr>
      </w:pPr>
      <w:r>
        <w:rPr>
          <w:rFonts w:ascii="Times New Roman" w:hAnsi="Times New Roman"/>
          <w:sz w:val="24"/>
          <w:szCs w:val="24"/>
        </w:rPr>
        <w:t>Могућност креирања права коришћења услуга и лимитирања потрошње на сваком броју у износу од 1,00 рсд, односно, на нивоу пакета;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Заузећа позива и позиви на које није одговорено се не тарифирају.</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Техничка подршка (24 сата дневно, 7 дана у недељи) - за време трајања Уговора.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У случају промене операт</w:t>
      </w:r>
      <w:r>
        <w:rPr>
          <w:color w:val="000000"/>
          <w:kern w:val="2"/>
          <w:lang w:val="sr-RS" w:eastAsia="sr-Latn-RS"/>
        </w:rPr>
        <w:t>е</w:t>
      </w:r>
      <w:r>
        <w:rPr>
          <w:color w:val="000000"/>
          <w:kern w:val="2"/>
          <w:lang w:eastAsia="sr-Latn-RS"/>
        </w:rPr>
        <w:t>ра, трошкове преноса бројева сноси операт</w:t>
      </w:r>
      <w:r>
        <w:rPr>
          <w:color w:val="000000"/>
          <w:kern w:val="2"/>
          <w:lang w:val="sr-RS" w:eastAsia="sr-Latn-RS"/>
        </w:rPr>
        <w:t>е</w:t>
      </w:r>
      <w:r>
        <w:rPr>
          <w:color w:val="000000"/>
          <w:kern w:val="2"/>
          <w:lang w:eastAsia="sr-Latn-RS"/>
        </w:rPr>
        <w:t>р - прималац броја.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Изабрани Понуђач мора имати обезбеђен сервис, преузимање и враћање апарата са сервиса од стране мобилног оператера.</w:t>
      </w:r>
    </w:p>
    <w:p>
      <w:pPr>
        <w:pStyle w:val="Normal"/>
        <w:numPr>
          <w:ilvl w:val="0"/>
          <w:numId w:val="5"/>
        </w:numPr>
        <w:spacing w:lineRule="auto" w:line="276"/>
        <w:jc w:val="both"/>
        <w:rPr/>
      </w:pPr>
      <w:r>
        <w:rPr>
          <w:color w:val="000000"/>
        </w:rPr>
        <w:t>Гарантни рок за телефоне мора бити у складу са гаранцијом произвођача,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Понуђач је у обавези да уз испоручене мобилне телефонске апарате, достави гарантни лист, оверен на дан испоруке, у коме треба да буду наведени серијски бројеви испоручених мобилних телефонских апарата, на основу којих ће се вршити идентификација сваког појединачног телефонског апарата.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Омогућен континуирани бесплатан увид у рачун (стање рачуна) на појединачном броју у току месеца.</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Листинг одлазног саобраћаја се не наплаћује.</w:t>
      </w:r>
    </w:p>
    <w:p>
      <w:pPr>
        <w:pStyle w:val="Normal"/>
        <w:widowControl w:val="false"/>
        <w:numPr>
          <w:ilvl w:val="0"/>
          <w:numId w:val="5"/>
        </w:numPr>
        <w:tabs>
          <w:tab w:val="clear" w:pos="720"/>
          <w:tab w:val="left" w:pos="700" w:leader="none"/>
        </w:tabs>
        <w:spacing w:lineRule="auto" w:line="276"/>
        <w:jc w:val="both"/>
        <w:rPr/>
      </w:pPr>
      <w:r>
        <w:rPr>
          <w:color w:val="000000"/>
          <w:kern w:val="2"/>
          <w:lang w:eastAsia="sr-Latn-RS"/>
        </w:rPr>
        <w:t>Све остале услуге се наплаћују према стандардном ценовнику Понуђача који је исти обавезан да достави оверен уз понуду.</w:t>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widowControl w:val="false"/>
        <w:tabs>
          <w:tab w:val="clear" w:pos="720"/>
          <w:tab w:val="left" w:pos="700" w:leader="none"/>
        </w:tabs>
        <w:spacing w:lineRule="atLeast" w:line="100" w:before="0" w:after="60"/>
        <w:ind w:left="502" w:hanging="0"/>
        <w:jc w:val="both"/>
        <w:rPr>
          <w:color w:val="000000"/>
        </w:rPr>
      </w:pPr>
      <w:r>
        <w:rPr>
          <w:color w:val="000000"/>
        </w:rPr>
      </w:r>
    </w:p>
    <w:p>
      <w:pPr>
        <w:pStyle w:val="Normal"/>
        <w:jc w:val="center"/>
        <w:rPr/>
      </w:pPr>
      <w:r>
        <w:rPr>
          <w:color w:val="000000"/>
          <w:kern w:val="2"/>
          <w:lang w:val="sr-RS" w:eastAsia="sr-Latn-CS"/>
        </w:rPr>
        <w:t>СПЕЦИФИКАЦИЈА ЗАХТЕВА НАРУЧИОЦА</w:t>
      </w:r>
    </w:p>
    <w:p>
      <w:pPr>
        <w:pStyle w:val="Normal"/>
        <w:spacing w:lineRule="atLeast" w:line="100"/>
        <w:rPr/>
      </w:pPr>
      <w:r>
        <w:rPr>
          <w:rFonts w:eastAsia="Arial Unicode MS"/>
          <w:color w:val="000000"/>
          <w:kern w:val="2"/>
          <w:shd w:fill="FFFFFF" w:val="clear"/>
          <w:lang w:eastAsia="ar-SA"/>
        </w:rPr>
        <w:t> </w:t>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912"/>
        <w:gridCol w:w="1248"/>
        <w:gridCol w:w="1296"/>
        <w:gridCol w:w="1368"/>
        <w:gridCol w:w="1465"/>
        <w:gridCol w:w="1346"/>
        <w:gridCol w:w="1434"/>
      </w:tblGrid>
      <w:tr>
        <w:trPr>
          <w:trHeight w:val="552" w:hRule="atLeast"/>
        </w:trPr>
        <w:tc>
          <w:tcPr>
            <w:tcW w:w="2160" w:type="dxa"/>
            <w:gridSpan w:val="2"/>
            <w:tcBorders>
              <w:top w:val="single" w:sz="8" w:space="0" w:color="000000"/>
              <w:left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Укључено у претплату:</w:t>
            </w:r>
          </w:p>
        </w:tc>
        <w:tc>
          <w:tcPr>
            <w:tcW w:w="1296" w:type="dxa"/>
            <w:tcBorders>
              <w:top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Пакет 1</w:t>
            </w:r>
          </w:p>
        </w:tc>
        <w:tc>
          <w:tcPr>
            <w:tcW w:w="1368" w:type="dxa"/>
            <w:tcBorders>
              <w:top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Пакет2</w:t>
            </w:r>
          </w:p>
        </w:tc>
        <w:tc>
          <w:tcPr>
            <w:tcW w:w="1465" w:type="dxa"/>
            <w:tcBorders>
              <w:top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Пакет3</w:t>
            </w:r>
          </w:p>
        </w:tc>
        <w:tc>
          <w:tcPr>
            <w:tcW w:w="1346" w:type="dxa"/>
            <w:tcBorders>
              <w:top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Пакет4</w:t>
            </w:r>
          </w:p>
        </w:tc>
        <w:tc>
          <w:tcPr>
            <w:tcW w:w="1434" w:type="dxa"/>
            <w:tcBorders>
              <w:top w:val="single" w:sz="8" w:space="0" w:color="000000"/>
              <w:bottom w:val="single" w:sz="8" w:space="0" w:color="000000"/>
              <w:right w:val="single" w:sz="8" w:space="0" w:color="000000"/>
            </w:tcBorders>
            <w:shd w:color="000000" w:fill="E0E0E0" w:val="clear"/>
            <w:vAlign w:val="center"/>
          </w:tcPr>
          <w:p>
            <w:pPr>
              <w:pStyle w:val="Normal"/>
              <w:widowControl w:val="false"/>
              <w:suppressAutoHyphens w:val="false"/>
              <w:jc w:val="center"/>
              <w:rPr>
                <w:color w:val="000000"/>
                <w:lang w:val="sr-Latn-RS" w:eastAsia="sr-Latn-RS"/>
              </w:rPr>
            </w:pPr>
            <w:r>
              <w:rPr>
                <w:color w:val="000000"/>
                <w:lang w:eastAsia="sr-Latn-RS"/>
              </w:rPr>
              <w:t>Пакет 5</w:t>
            </w:r>
          </w:p>
        </w:tc>
      </w:tr>
      <w:tr>
        <w:trPr>
          <w:trHeight w:val="564"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Број минута у групи Наручиоца</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неограничено</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r>
      <w:tr>
        <w:trPr>
          <w:trHeight w:val="564"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Број минута ка свим мрежама</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200</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500</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r>
      <w:tr>
        <w:trPr>
          <w:trHeight w:val="564"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Број СМС порука</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200</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500</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r>
      <w:tr>
        <w:trPr>
          <w:trHeight w:val="564" w:hRule="atLeast"/>
        </w:trPr>
        <w:tc>
          <w:tcPr>
            <w:tcW w:w="912"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Број бонус минута</w:t>
            </w:r>
          </w:p>
        </w:tc>
        <w:tc>
          <w:tcPr>
            <w:tcW w:w="1248" w:type="dxa"/>
            <w:tcBorders>
              <w:bottom w:val="single" w:sz="8" w:space="0" w:color="000000"/>
              <w:right w:val="single" w:sz="8" w:space="0" w:color="000000"/>
            </w:tcBorders>
            <w:shd w:color="auto" w:fill="auto" w:val="clear"/>
            <w:vAlign w:val="center"/>
          </w:tcPr>
          <w:p>
            <w:pPr>
              <w:pStyle w:val="Normal"/>
              <w:widowControl w:val="false"/>
              <w:suppressAutoHyphens w:val="false"/>
              <w:rPr>
                <w:color w:val="000000"/>
                <w:lang w:val="sr-Latn-RS" w:eastAsia="sr-Latn-RS"/>
              </w:rPr>
            </w:pPr>
            <w:r>
              <w:rPr>
                <w:color w:val="000000"/>
                <w:lang w:eastAsia="sr-Latn-RS"/>
              </w:rPr>
              <w:t>У мрежи понуђача</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r>
      <w:tr>
        <w:trPr>
          <w:trHeight w:val="840" w:hRule="atLeast"/>
        </w:trPr>
        <w:tc>
          <w:tcPr>
            <w:tcW w:w="912" w:type="dxa"/>
            <w:vMerge w:val="continue"/>
            <w:tcBorders>
              <w:left w:val="single" w:sz="8" w:space="0" w:color="000000"/>
              <w:bottom w:val="single" w:sz="8" w:space="0" w:color="000000"/>
              <w:right w:val="single" w:sz="8" w:space="0" w:color="000000"/>
            </w:tcBorders>
            <w:vAlign w:val="center"/>
          </w:tcPr>
          <w:p>
            <w:pPr>
              <w:pStyle w:val="Normal"/>
              <w:widowControl w:val="false"/>
              <w:suppressAutoHyphens w:val="false"/>
              <w:rPr>
                <w:color w:val="000000"/>
                <w:lang w:val="sr-Latn-RS" w:eastAsia="sr-Latn-RS"/>
              </w:rPr>
            </w:pPr>
            <w:r>
              <w:rPr>
                <w:color w:val="000000"/>
                <w:lang w:val="sr-Latn-RS" w:eastAsia="sr-Latn-RS"/>
              </w:rPr>
            </w:r>
          </w:p>
        </w:tc>
        <w:tc>
          <w:tcPr>
            <w:tcW w:w="1248" w:type="dxa"/>
            <w:tcBorders>
              <w:bottom w:val="single" w:sz="8" w:space="0" w:color="000000"/>
              <w:right w:val="single" w:sz="8" w:space="0" w:color="000000"/>
            </w:tcBorders>
            <w:shd w:color="auto" w:fill="auto" w:val="clear"/>
            <w:vAlign w:val="center"/>
          </w:tcPr>
          <w:p>
            <w:pPr>
              <w:pStyle w:val="Normal"/>
              <w:widowControl w:val="false"/>
              <w:suppressAutoHyphens w:val="false"/>
              <w:rPr>
                <w:color w:val="000000"/>
                <w:lang w:val="sr-Latn-RS" w:eastAsia="sr-Latn-RS"/>
              </w:rPr>
            </w:pPr>
            <w:r>
              <w:rPr>
                <w:color w:val="000000"/>
                <w:lang w:eastAsia="sr-Latn-RS"/>
              </w:rPr>
              <w:t xml:space="preserve">Ка </w:t>
            </w:r>
            <w:r>
              <w:rPr>
                <w:color w:val="000000"/>
                <w:lang w:val="sr-RS" w:eastAsia="sr-Latn-RS"/>
              </w:rPr>
              <w:t>фиксним</w:t>
            </w:r>
            <w:r>
              <w:rPr>
                <w:color w:val="000000"/>
                <w:lang w:eastAsia="sr-Latn-RS"/>
              </w:rPr>
              <w:t xml:space="preserve"> мрежама</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неограничено</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r>
      <w:tr>
        <w:trPr>
          <w:trHeight w:val="828"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Број МБ за пренос података у максималној брзини</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100</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1000</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3000</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Мин 8000</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неограничено</w:t>
            </w:r>
          </w:p>
        </w:tc>
      </w:tr>
      <w:tr>
        <w:trPr>
          <w:trHeight w:val="828"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Број минута за позиве ка иностранству</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40</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100</w:t>
            </w:r>
          </w:p>
        </w:tc>
      </w:tr>
      <w:tr>
        <w:trPr>
          <w:trHeight w:val="564" w:hRule="atLeast"/>
        </w:trPr>
        <w:tc>
          <w:tcPr>
            <w:tcW w:w="21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Дата роминг (Мб)</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CS" w:eastAsia="sr-Latn-RS"/>
              </w:rPr>
              <w:t>/</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1000</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1000</w:t>
            </w:r>
          </w:p>
        </w:tc>
      </w:tr>
      <w:tr>
        <w:trPr>
          <w:trHeight w:val="1668" w:hRule="atLeast"/>
        </w:trPr>
        <w:tc>
          <w:tcPr>
            <w:tcW w:w="912"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Роминг</w:t>
            </w:r>
          </w:p>
        </w:tc>
        <w:tc>
          <w:tcPr>
            <w:tcW w:w="1248" w:type="dxa"/>
            <w:tcBorders>
              <w:bottom w:val="single" w:sz="8" w:space="0" w:color="000000"/>
              <w:right w:val="single" w:sz="8" w:space="0" w:color="000000"/>
            </w:tcBorders>
            <w:shd w:color="auto" w:fill="auto" w:val="clear"/>
            <w:vAlign w:val="center"/>
          </w:tcPr>
          <w:p>
            <w:pPr>
              <w:pStyle w:val="Normal"/>
              <w:widowControl w:val="false"/>
              <w:suppressAutoHyphens w:val="false"/>
              <w:rPr>
                <w:color w:val="000000"/>
                <w:lang w:val="sr-Latn-RS" w:eastAsia="sr-Latn-RS"/>
              </w:rPr>
            </w:pPr>
            <w:r>
              <w:rPr>
                <w:color w:val="000000"/>
                <w:lang w:eastAsia="sr-Latn-RS"/>
              </w:rPr>
              <w:t>Број минута (одлазни и долазни позиви)</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50</w:t>
            </w:r>
          </w:p>
        </w:tc>
      </w:tr>
      <w:tr>
        <w:trPr>
          <w:trHeight w:val="300" w:hRule="atLeast"/>
        </w:trPr>
        <w:tc>
          <w:tcPr>
            <w:tcW w:w="912" w:type="dxa"/>
            <w:vMerge w:val="continue"/>
            <w:tcBorders>
              <w:left w:val="single" w:sz="8" w:space="0" w:color="000000"/>
              <w:bottom w:val="single" w:sz="8" w:space="0" w:color="000000"/>
              <w:right w:val="single" w:sz="8" w:space="0" w:color="000000"/>
            </w:tcBorders>
            <w:vAlign w:val="center"/>
          </w:tcPr>
          <w:p>
            <w:pPr>
              <w:pStyle w:val="Normal"/>
              <w:widowControl w:val="false"/>
              <w:suppressAutoHyphens w:val="false"/>
              <w:rPr>
                <w:color w:val="000000"/>
                <w:lang w:val="sr-Latn-RS" w:eastAsia="sr-Latn-RS"/>
              </w:rPr>
            </w:pPr>
            <w:r>
              <w:rPr>
                <w:color w:val="000000"/>
                <w:lang w:val="sr-Latn-RS" w:eastAsia="sr-Latn-RS"/>
              </w:rPr>
            </w:r>
          </w:p>
        </w:tc>
        <w:tc>
          <w:tcPr>
            <w:tcW w:w="1248" w:type="dxa"/>
            <w:tcBorders>
              <w:bottom w:val="single" w:sz="8" w:space="0" w:color="000000"/>
              <w:right w:val="single" w:sz="8" w:space="0" w:color="000000"/>
            </w:tcBorders>
            <w:shd w:color="auto" w:fill="auto" w:val="clear"/>
            <w:vAlign w:val="center"/>
          </w:tcPr>
          <w:p>
            <w:pPr>
              <w:pStyle w:val="Normal"/>
              <w:widowControl w:val="false"/>
              <w:suppressAutoHyphens w:val="false"/>
              <w:rPr>
                <w:color w:val="000000"/>
                <w:lang w:val="sr-Latn-RS" w:eastAsia="sr-Latn-RS"/>
              </w:rPr>
            </w:pPr>
            <w:r>
              <w:rPr>
                <w:color w:val="000000"/>
                <w:lang w:eastAsia="sr-Latn-RS"/>
              </w:rPr>
              <w:t>СМС</w:t>
            </w:r>
          </w:p>
        </w:tc>
        <w:tc>
          <w:tcPr>
            <w:tcW w:w="129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68"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465"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Latn-RS" w:eastAsia="sr-Latn-RS"/>
              </w:rPr>
              <w:t>/</w:t>
            </w:r>
          </w:p>
        </w:tc>
        <w:tc>
          <w:tcPr>
            <w:tcW w:w="1346"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eastAsia="sr-Latn-RS"/>
              </w:rPr>
              <w:t>/</w:t>
            </w:r>
          </w:p>
        </w:tc>
        <w:tc>
          <w:tcPr>
            <w:tcW w:w="1434" w:type="dxa"/>
            <w:tcBorders>
              <w:bottom w:val="single" w:sz="8" w:space="0" w:color="000000"/>
              <w:right w:val="single" w:sz="8" w:space="0" w:color="000000"/>
            </w:tcBorders>
            <w:shd w:color="auto" w:fill="auto" w:val="clear"/>
            <w:vAlign w:val="center"/>
          </w:tcPr>
          <w:p>
            <w:pPr>
              <w:pStyle w:val="Normal"/>
              <w:widowControl w:val="false"/>
              <w:suppressAutoHyphens w:val="false"/>
              <w:jc w:val="center"/>
              <w:rPr>
                <w:color w:val="000000"/>
                <w:lang w:val="sr-Latn-RS" w:eastAsia="sr-Latn-RS"/>
              </w:rPr>
            </w:pPr>
            <w:r>
              <w:rPr>
                <w:color w:val="000000"/>
                <w:lang w:val="sr-RS" w:eastAsia="sr-Latn-RS"/>
              </w:rPr>
              <w:t>Мин 50</w:t>
            </w:r>
          </w:p>
        </w:tc>
      </w:tr>
    </w:tbl>
    <w:p>
      <w:pPr>
        <w:pStyle w:val="Normal"/>
        <w:spacing w:lineRule="atLeast" w:line="100"/>
        <w:rPr>
          <w:color w:val="000000"/>
        </w:rPr>
      </w:pPr>
      <w:r>
        <w:rPr>
          <w:color w:val="000000"/>
        </w:rPr>
      </w:r>
    </w:p>
    <w:p>
      <w:pPr>
        <w:pStyle w:val="Normal"/>
        <w:numPr>
          <w:ilvl w:val="0"/>
          <w:numId w:val="2"/>
        </w:numPr>
        <w:spacing w:lineRule="auto" w:line="276" w:before="0" w:after="200"/>
        <w:contextualSpacing/>
        <w:jc w:val="both"/>
        <w:rPr/>
      </w:pPr>
      <w:r>
        <w:rPr>
          <w:color w:val="000000"/>
          <w:lang w:val="sr-RS"/>
        </w:rPr>
        <w:t>Понуђач је дужан да, као саставни део понуде, достави своје Опште услове о пружању услуга мобилне телефоније</w:t>
      </w:r>
      <w:r>
        <w:rPr>
          <w:color w:val="000000"/>
          <w:lang w:val="sr-Latn-RS"/>
        </w:rPr>
        <w:t xml:space="preserve">, </w:t>
      </w:r>
      <w:r>
        <w:rPr>
          <w:rFonts w:eastAsia="Calibri"/>
          <w:color w:val="000000"/>
          <w:lang w:val="sr-RS"/>
        </w:rPr>
        <w:t xml:space="preserve">а у супротном понуда ће бити </w:t>
      </w:r>
      <w:r>
        <w:rPr>
          <w:rFonts w:eastAsia="Calibri"/>
          <w:color w:val="000000"/>
          <w:lang w:val="sr-Latn-RS"/>
        </w:rPr>
        <w:t>одбијена као неприхватљива.</w:t>
      </w:r>
      <w:r>
        <w:rPr>
          <w:color w:val="000000"/>
          <w:lang w:val="sr-Latn-RS"/>
        </w:rPr>
        <w:t xml:space="preserve"> </w:t>
      </w:r>
    </w:p>
    <w:p>
      <w:pPr>
        <w:pStyle w:val="Normal"/>
        <w:spacing w:lineRule="auto" w:line="276" w:before="0" w:after="200"/>
        <w:ind w:left="360" w:hanging="0"/>
        <w:contextualSpacing/>
        <w:jc w:val="both"/>
        <w:rPr/>
      </w:pPr>
      <w:r>
        <w:rPr>
          <w:i/>
          <w:color w:val="000000"/>
          <w:u w:val="single"/>
          <w:lang w:val="sr-RS"/>
        </w:rPr>
        <w:t>Напомена: Наручилац обавештава понуђача да прихвата његове Опште услове о пружању услуга у јавној мобилној мрежи уколико они нису у супротности са одредбама из Конкурсне документације.</w:t>
      </w:r>
    </w:p>
    <w:p>
      <w:pPr>
        <w:pStyle w:val="Normal"/>
        <w:spacing w:lineRule="auto" w:line="276" w:before="0" w:after="200"/>
        <w:contextualSpacing/>
        <w:jc w:val="both"/>
        <w:rPr>
          <w:rFonts w:eastAsia="Calibri"/>
          <w:i/>
          <w:i/>
          <w:color w:val="000000"/>
          <w:u w:val="single"/>
          <w:lang w:val="sr-RS"/>
        </w:rPr>
      </w:pPr>
      <w:r>
        <w:rPr>
          <w:rFonts w:eastAsia="Calibri"/>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jc w:val="both"/>
        <w:rPr>
          <w:rFonts w:eastAsia="Calibri"/>
          <w:b/>
          <w:b/>
          <w:i/>
          <w:i/>
          <w:color w:val="000000"/>
          <w:u w:val="single"/>
          <w:lang w:val="sr-RS"/>
        </w:rPr>
      </w:pPr>
      <w:r>
        <w:rPr>
          <w:rFonts w:eastAsia="Calibri"/>
          <w:b/>
          <w:i/>
          <w:color w:val="000000"/>
          <w:u w:val="single"/>
          <w:lang w:val="sr-RS"/>
        </w:rPr>
      </w:r>
    </w:p>
    <w:p>
      <w:pPr>
        <w:pStyle w:val="Normal"/>
        <w:spacing w:lineRule="auto" w:line="276" w:before="0" w:after="200"/>
        <w:contextualSpacing/>
        <w:rPr/>
      </w:pPr>
      <w:r>
        <w:rPr>
          <w:rFonts w:eastAsia="Calibri"/>
          <w:b/>
          <w:color w:val="000000"/>
          <w:lang w:val="sr-RS"/>
        </w:rPr>
        <w:t>Обавезе Понуђача коме се додели уговор о јавној набавци:</w:t>
      </w:r>
    </w:p>
    <w:p>
      <w:pPr>
        <w:pStyle w:val="Normal"/>
        <w:numPr>
          <w:ilvl w:val="0"/>
          <w:numId w:val="1"/>
        </w:numPr>
        <w:spacing w:lineRule="auto" w:line="276" w:before="0" w:after="200"/>
        <w:contextualSpacing/>
        <w:jc w:val="both"/>
        <w:rPr>
          <w:color w:val="000000"/>
          <w:u w:val="single"/>
          <w:lang w:val="sr-CS"/>
        </w:rPr>
      </w:pPr>
      <w:r>
        <w:rPr>
          <w:rFonts w:eastAsia="Calibri"/>
          <w:color w:val="000000"/>
          <w:lang w:val="sr-Latn-RS"/>
        </w:rPr>
        <w:t xml:space="preserve">Понуђач коме се </w:t>
      </w:r>
      <w:r>
        <w:rPr>
          <w:rFonts w:eastAsia="Calibri"/>
          <w:color w:val="000000"/>
          <w:lang w:val="sr-RS"/>
        </w:rPr>
        <w:t xml:space="preserve">додели </w:t>
      </w:r>
      <w:r>
        <w:rPr>
          <w:rFonts w:eastAsia="Calibri"/>
          <w:color w:val="000000"/>
          <w:lang w:val="sr-Latn-RS"/>
        </w:rPr>
        <w:t>уговор</w:t>
      </w:r>
      <w:r>
        <w:rPr>
          <w:rFonts w:eastAsia="Calibri"/>
          <w:color w:val="000000"/>
          <w:lang w:val="sr-RS"/>
        </w:rPr>
        <w:t xml:space="preserve"> о јавној набавци</w:t>
      </w:r>
      <w:r>
        <w:rPr>
          <w:rFonts w:eastAsia="Calibri"/>
          <w:color w:val="000000"/>
          <w:lang w:val="sr-Latn-RS"/>
        </w:rPr>
        <w:t xml:space="preserve"> дужан је д</w:t>
      </w:r>
      <w:r>
        <w:rPr>
          <w:rFonts w:eastAsia="Calibri"/>
          <w:color w:val="000000"/>
          <w:lang w:val="sr-RS"/>
        </w:rPr>
        <w:t xml:space="preserve">а, заједно са </w:t>
      </w:r>
      <w:r>
        <w:rPr>
          <w:rFonts w:eastAsia="Calibri"/>
          <w:color w:val="000000"/>
          <w:lang w:val="sr-Latn-RS"/>
        </w:rPr>
        <w:t>потпис</w:t>
      </w:r>
      <w:r>
        <w:rPr>
          <w:rFonts w:eastAsia="Calibri"/>
          <w:color w:val="000000"/>
          <w:lang w:val="sr-RS"/>
        </w:rPr>
        <w:t>аним  у</w:t>
      </w:r>
      <w:r>
        <w:rPr>
          <w:rFonts w:eastAsia="Calibri"/>
          <w:color w:val="000000"/>
          <w:lang w:val="sr-Latn-RS"/>
        </w:rPr>
        <w:t>говор</w:t>
      </w:r>
      <w:r>
        <w:rPr>
          <w:rFonts w:eastAsia="Calibri"/>
          <w:color w:val="000000"/>
          <w:lang w:val="sr-RS"/>
        </w:rPr>
        <w:t>ом</w:t>
      </w:r>
      <w:r>
        <w:rPr>
          <w:rFonts w:eastAsia="Calibri"/>
          <w:color w:val="000000"/>
          <w:lang w:val="sr-Latn-RS"/>
        </w:rPr>
        <w:t xml:space="preserve"> </w:t>
      </w:r>
      <w:r>
        <w:rPr>
          <w:rFonts w:eastAsia="Calibri"/>
          <w:color w:val="000000"/>
          <w:lang w:val="sr-RS"/>
        </w:rPr>
        <w:t xml:space="preserve">о јавној набавци, </w:t>
      </w:r>
      <w:r>
        <w:rPr>
          <w:rFonts w:eastAsia="Calibri"/>
          <w:color w:val="000000"/>
          <w:lang w:val="sr-Latn-RS"/>
        </w:rPr>
        <w:t xml:space="preserve">достави </w:t>
      </w:r>
      <w:r>
        <w:rPr>
          <w:rFonts w:eastAsia="Calibri"/>
          <w:color w:val="000000"/>
          <w:lang w:val="sr-RS"/>
        </w:rPr>
        <w:t xml:space="preserve">Наручиоцу и </w:t>
      </w:r>
      <w:r>
        <w:rPr>
          <w:rFonts w:eastAsia="Calibri"/>
          <w:color w:val="000000"/>
          <w:lang w:val="sr-Latn-RS"/>
        </w:rPr>
        <w:t xml:space="preserve">ценовник за све услуге које нису саставни део Техничког описа. У случају промена ових цена током важења </w:t>
      </w:r>
      <w:r>
        <w:rPr>
          <w:rFonts w:eastAsia="Calibri"/>
          <w:color w:val="000000"/>
          <w:lang w:val="sr-RS"/>
        </w:rPr>
        <w:t>у</w:t>
      </w:r>
      <w:r>
        <w:rPr>
          <w:rFonts w:eastAsia="Calibri"/>
          <w:color w:val="000000"/>
          <w:lang w:val="sr-Latn-RS"/>
        </w:rPr>
        <w:t xml:space="preserve">говора </w:t>
      </w:r>
      <w:r>
        <w:rPr>
          <w:rFonts w:eastAsia="Calibri"/>
          <w:color w:val="000000"/>
          <w:lang w:val="sr-RS"/>
        </w:rPr>
        <w:t>о јавној набавци п</w:t>
      </w:r>
      <w:r>
        <w:rPr>
          <w:rFonts w:eastAsia="Calibri"/>
          <w:color w:val="000000"/>
          <w:lang w:val="sr-Latn-RS"/>
        </w:rPr>
        <w:t xml:space="preserve">онуђач коме се додели уговор биће дужан да благовремено (пре ступања на снагу новог ценовника) достави Наручиоцу нови ценовник. </w:t>
      </w:r>
    </w:p>
    <w:p>
      <w:pPr>
        <w:pStyle w:val="Normal"/>
        <w:numPr>
          <w:ilvl w:val="0"/>
          <w:numId w:val="1"/>
        </w:numPr>
        <w:spacing w:lineRule="auto" w:line="276"/>
        <w:jc w:val="both"/>
        <w:rPr/>
      </w:pPr>
      <w:r>
        <w:rPr>
          <w:color w:val="000000"/>
          <w:lang w:val="sr-RS"/>
        </w:rPr>
        <w:t>П</w:t>
      </w:r>
      <w:r>
        <w:rPr>
          <w:color w:val="000000"/>
          <w:lang w:val="sr-CS"/>
        </w:rPr>
        <w:t xml:space="preserve">ружалац </w:t>
      </w:r>
      <w:r>
        <w:rPr>
          <w:color w:val="000000"/>
          <w:lang w:val="sr-RS"/>
        </w:rPr>
        <w:t xml:space="preserve">услуге </w:t>
      </w:r>
      <w:r>
        <w:rPr>
          <w:color w:val="000000"/>
          <w:lang w:val="sr-CS"/>
        </w:rPr>
        <w:t>се обавезује да услугу која је предмет набавке пружа у складу са</w:t>
      </w:r>
      <w:r>
        <w:rPr>
          <w:color w:val="000000"/>
          <w:lang w:val="sr-RS"/>
        </w:rPr>
        <w:t xml:space="preserve"> </w:t>
      </w:r>
      <w:r>
        <w:rPr>
          <w:color w:val="000000"/>
          <w:lang w:val="sr-CS"/>
        </w:rPr>
        <w:t>позитивно правним прописима и важећим стандардима.</w:t>
      </w:r>
    </w:p>
    <w:p>
      <w:pPr>
        <w:pStyle w:val="Normal"/>
        <w:numPr>
          <w:ilvl w:val="0"/>
          <w:numId w:val="1"/>
        </w:numPr>
        <w:spacing w:lineRule="auto" w:line="276"/>
        <w:jc w:val="both"/>
        <w:rPr/>
      </w:pPr>
      <w:r>
        <w:rPr>
          <w:color w:val="000000"/>
          <w:spacing w:val="-1"/>
          <w:lang w:val="sr-RS"/>
        </w:rPr>
        <w:t>К</w:t>
      </w:r>
      <w:r>
        <w:rPr>
          <w:color w:val="000000"/>
          <w:lang w:val="sr-RS"/>
        </w:rPr>
        <w:t>он</w:t>
      </w:r>
      <w:r>
        <w:rPr>
          <w:color w:val="000000"/>
          <w:spacing w:val="-1"/>
          <w:lang w:val="sr-RS"/>
        </w:rPr>
        <w:t>т</w:t>
      </w:r>
      <w:r>
        <w:rPr>
          <w:color w:val="000000"/>
          <w:lang w:val="sr-RS"/>
        </w:rPr>
        <w:t xml:space="preserve">рола </w:t>
      </w:r>
      <w:r>
        <w:rPr>
          <w:color w:val="000000"/>
          <w:spacing w:val="-23"/>
          <w:lang w:val="sr-RS"/>
        </w:rPr>
        <w:t xml:space="preserve"> </w:t>
      </w:r>
      <w:r>
        <w:rPr>
          <w:color w:val="000000"/>
          <w:lang w:val="sr-RS"/>
        </w:rPr>
        <w:t>извршених услуга</w:t>
      </w:r>
      <w:r>
        <w:rPr>
          <w:color w:val="000000"/>
          <w:spacing w:val="24"/>
          <w:lang w:val="sr-RS"/>
        </w:rPr>
        <w:t xml:space="preserve"> </w:t>
      </w:r>
      <w:r>
        <w:rPr>
          <w:color w:val="000000"/>
          <w:lang w:val="sr-RS"/>
        </w:rPr>
        <w:t>се</w:t>
      </w:r>
      <w:r>
        <w:rPr>
          <w:color w:val="000000"/>
          <w:spacing w:val="27"/>
          <w:lang w:val="sr-RS"/>
        </w:rPr>
        <w:t xml:space="preserve"> </w:t>
      </w:r>
      <w:r>
        <w:rPr>
          <w:color w:val="000000"/>
          <w:spacing w:val="-1"/>
          <w:lang w:val="sr-RS"/>
        </w:rPr>
        <w:t>в</w:t>
      </w:r>
      <w:r>
        <w:rPr>
          <w:color w:val="000000"/>
          <w:spacing w:val="-2"/>
          <w:lang w:val="sr-RS"/>
        </w:rPr>
        <w:t>р</w:t>
      </w:r>
      <w:r>
        <w:rPr>
          <w:color w:val="000000"/>
          <w:lang w:val="sr-RS"/>
        </w:rPr>
        <w:t>ши</w:t>
      </w:r>
      <w:r>
        <w:rPr>
          <w:color w:val="000000"/>
          <w:spacing w:val="27"/>
          <w:lang w:val="sr-RS"/>
        </w:rPr>
        <w:t xml:space="preserve"> </w:t>
      </w:r>
      <w:r>
        <w:rPr>
          <w:color w:val="000000"/>
          <w:lang w:val="sr-RS"/>
        </w:rPr>
        <w:t>од</w:t>
      </w:r>
      <w:r>
        <w:rPr>
          <w:color w:val="000000"/>
          <w:spacing w:val="24"/>
          <w:lang w:val="sr-RS"/>
        </w:rPr>
        <w:t xml:space="preserve"> </w:t>
      </w:r>
      <w:r>
        <w:rPr>
          <w:color w:val="000000"/>
          <w:lang w:val="sr-RS"/>
        </w:rPr>
        <w:t>стра</w:t>
      </w:r>
      <w:r>
        <w:rPr>
          <w:color w:val="000000"/>
          <w:spacing w:val="-3"/>
          <w:lang w:val="sr-RS"/>
        </w:rPr>
        <w:t>н</w:t>
      </w:r>
      <w:r>
        <w:rPr>
          <w:color w:val="000000"/>
          <w:lang w:val="sr-RS"/>
        </w:rPr>
        <w:t>е</w:t>
      </w:r>
      <w:r>
        <w:rPr>
          <w:color w:val="000000"/>
          <w:spacing w:val="25"/>
          <w:lang w:val="sr-RS"/>
        </w:rPr>
        <w:t xml:space="preserve"> </w:t>
      </w:r>
      <w:r>
        <w:rPr>
          <w:color w:val="000000"/>
          <w:lang w:val="sr-RS"/>
        </w:rPr>
        <w:t>стр</w:t>
      </w:r>
      <w:r>
        <w:rPr>
          <w:color w:val="000000"/>
          <w:spacing w:val="-2"/>
          <w:lang w:val="sr-RS"/>
        </w:rPr>
        <w:t>у</w:t>
      </w:r>
      <w:r>
        <w:rPr>
          <w:color w:val="000000"/>
          <w:spacing w:val="-1"/>
          <w:lang w:val="sr-RS"/>
        </w:rPr>
        <w:t>ч</w:t>
      </w:r>
      <w:r>
        <w:rPr>
          <w:color w:val="000000"/>
          <w:lang w:val="sr-RS"/>
        </w:rPr>
        <w:t>не</w:t>
      </w:r>
      <w:r>
        <w:rPr>
          <w:color w:val="000000"/>
          <w:spacing w:val="26"/>
          <w:lang w:val="sr-RS"/>
        </w:rPr>
        <w:t xml:space="preserve"> </w:t>
      </w:r>
      <w:r>
        <w:rPr>
          <w:color w:val="000000"/>
          <w:lang w:val="sr-RS"/>
        </w:rPr>
        <w:t>сл</w:t>
      </w:r>
      <w:r>
        <w:rPr>
          <w:color w:val="000000"/>
          <w:spacing w:val="-2"/>
          <w:lang w:val="sr-RS"/>
        </w:rPr>
        <w:t>у</w:t>
      </w:r>
      <w:r>
        <w:rPr>
          <w:color w:val="000000"/>
          <w:spacing w:val="1"/>
          <w:lang w:val="sr-RS"/>
        </w:rPr>
        <w:t>ж</w:t>
      </w:r>
      <w:r>
        <w:rPr>
          <w:color w:val="000000"/>
          <w:lang w:val="sr-RS"/>
        </w:rPr>
        <w:t>бе</w:t>
      </w:r>
      <w:r>
        <w:rPr>
          <w:color w:val="000000"/>
          <w:spacing w:val="25"/>
          <w:lang w:val="sr-RS"/>
        </w:rPr>
        <w:t xml:space="preserve"> </w:t>
      </w:r>
      <w:r>
        <w:rPr>
          <w:color w:val="000000"/>
          <w:spacing w:val="-1"/>
          <w:lang w:val="sr-RS"/>
        </w:rPr>
        <w:t>Н</w:t>
      </w:r>
      <w:r>
        <w:rPr>
          <w:color w:val="000000"/>
          <w:lang w:val="sr-RS"/>
        </w:rPr>
        <w:t>ар</w:t>
      </w:r>
      <w:r>
        <w:rPr>
          <w:color w:val="000000"/>
          <w:spacing w:val="-2"/>
          <w:lang w:val="sr-RS"/>
        </w:rPr>
        <w:t>у</w:t>
      </w:r>
      <w:r>
        <w:rPr>
          <w:color w:val="000000"/>
          <w:spacing w:val="-1"/>
          <w:lang w:val="sr-RS"/>
        </w:rPr>
        <w:t>ч</w:t>
      </w:r>
      <w:r>
        <w:rPr>
          <w:color w:val="000000"/>
          <w:lang w:val="sr-RS"/>
        </w:rPr>
        <w:t>ио</w:t>
      </w:r>
      <w:r>
        <w:rPr>
          <w:color w:val="000000"/>
          <w:spacing w:val="-1"/>
          <w:lang w:val="sr-RS"/>
        </w:rPr>
        <w:t>ц</w:t>
      </w:r>
      <w:r>
        <w:rPr>
          <w:color w:val="000000"/>
          <w:lang w:val="sr-RS"/>
        </w:rPr>
        <w:t>а.</w:t>
      </w:r>
    </w:p>
    <w:p>
      <w:pPr>
        <w:pStyle w:val="Normal"/>
        <w:spacing w:lineRule="atLeast" w:line="100"/>
        <w:jc w:val="both"/>
        <w:rPr>
          <w:b/>
          <w:b/>
        </w:rPr>
      </w:pPr>
      <w:r>
        <w:rPr>
          <w:b/>
        </w:rPr>
      </w:r>
    </w:p>
    <w:p>
      <w:pPr>
        <w:pStyle w:val="Normal"/>
        <w:spacing w:lineRule="auto" w:line="276"/>
        <w:jc w:val="both"/>
        <w:rPr>
          <w:b/>
          <w:b/>
          <w:bCs/>
        </w:rPr>
      </w:pPr>
      <w:r>
        <w:rPr>
          <w:b/>
        </w:rPr>
        <w:t>Е</w:t>
      </w:r>
      <w:r>
        <w:rPr>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pPr>
        <w:pStyle w:val="Normal"/>
        <w:spacing w:lineRule="auto" w:line="276"/>
        <w:jc w:val="both"/>
        <w:rPr>
          <w:b/>
          <w:b/>
          <w:bCs/>
        </w:rPr>
      </w:pPr>
      <w:r>
        <w:rPr>
          <w:b/>
          <w:bCs/>
        </w:rPr>
      </w:r>
    </w:p>
    <w:p>
      <w:pPr>
        <w:pStyle w:val="Default"/>
        <w:spacing w:lineRule="auto" w:line="276"/>
        <w:jc w:val="both"/>
        <w:rPr>
          <w:rFonts w:ascii="Times New Roman" w:hAnsi="Times New Roman" w:cs="Times New Roman"/>
          <w:color w:val="auto"/>
        </w:rPr>
      </w:pPr>
      <w:r>
        <w:rPr>
          <w:rFonts w:cs="Times New Roman" w:ascii="Times New Roman" w:hAnsi="Times New Roman"/>
          <w:color w:val="auto"/>
        </w:rPr>
        <w:t>Уколико две или више понуда имају исту понуђену цену претплате, наручилац ће уговор доделити понуђачу који буде извучен путем жреба. Наручилац ће писмено обавестити све понуђаче који су поднели понуде о датуму када ће се одржати извлачење путем жреба. Жребом ће бити обухваћене само оне понуде које имају једнаку најнижу понуђену цену исти гарантни рок и исти рок испоруке.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Понуђачима који не присуствују овом поступку, наручилац ће доставити записник извлачења путем жреба.</w:t>
      </w:r>
    </w:p>
    <w:p>
      <w:pPr>
        <w:pStyle w:val="Normal"/>
        <w:jc w:val="both"/>
        <w:rPr>
          <w:b/>
          <w:b/>
          <w:bCs/>
        </w:rPr>
      </w:pPr>
      <w:r>
        <w:rPr>
          <w:b/>
          <w:bCs/>
        </w:rPr>
      </w:r>
    </w:p>
    <w:p>
      <w:pPr>
        <w:pStyle w:val="Normal"/>
        <w:tabs>
          <w:tab w:val="clear" w:pos="720"/>
          <w:tab w:val="left" w:pos="600" w:leader="none"/>
          <w:tab w:val="left" w:pos="9593" w:leader="none"/>
        </w:tabs>
        <w:spacing w:before="0" w:after="120"/>
        <w:ind w:left="-362" w:right="-74" w:hanging="0"/>
        <w:jc w:val="both"/>
        <w:rPr>
          <w:b/>
          <w:b/>
          <w:lang w:val="sr-RS"/>
        </w:rPr>
      </w:pPr>
      <w:r>
        <w:rPr>
          <w:b/>
          <w:lang w:val="sr-RS"/>
        </w:rPr>
        <w:t>ПОСЕБАН ЗАХТЕВ И КВАЛИТЕТ УСЛУГЕ</w:t>
      </w:r>
    </w:p>
    <w:p>
      <w:pPr>
        <w:pStyle w:val="Normal"/>
        <w:tabs>
          <w:tab w:val="clear" w:pos="720"/>
          <w:tab w:val="left" w:pos="600" w:leader="none"/>
          <w:tab w:val="left" w:pos="9593" w:leader="none"/>
        </w:tabs>
        <w:spacing w:before="0" w:after="120"/>
        <w:ind w:left="-362" w:right="-74" w:hanging="0"/>
        <w:jc w:val="both"/>
        <w:rPr>
          <w:b/>
          <w:b/>
          <w:lang w:val="sr-RS"/>
        </w:rPr>
      </w:pPr>
      <w:r>
        <w:rPr>
          <w:b/>
          <w:lang w:val="sr-RS"/>
        </w:rPr>
      </w:r>
    </w:p>
    <w:p>
      <w:pPr>
        <w:pStyle w:val="BodyText1"/>
        <w:numPr>
          <w:ilvl w:val="0"/>
          <w:numId w:val="3"/>
        </w:numPr>
        <w:shd w:val="clear" w:fill="FFFFFF"/>
        <w:tabs>
          <w:tab w:val="clear" w:pos="720"/>
          <w:tab w:val="left" w:pos="385" w:leader="none"/>
        </w:tabs>
        <w:spacing w:lineRule="auto" w:line="276" w:before="0" w:after="38"/>
        <w:ind w:left="720" w:right="27" w:hanging="360"/>
        <w:rPr/>
      </w:pPr>
      <w:r>
        <w:rPr>
          <w:rFonts w:ascii="Times New Roman" w:hAnsi="Times New Roman"/>
          <w:color w:val="000000"/>
          <w:sz w:val="24"/>
          <w:szCs w:val="24"/>
          <w:shd w:fill="auto" w:val="clear"/>
        </w:rPr>
        <w:t xml:space="preserve">Oбавеза је понуђача да пре достављања понуде изврше обилазак локације наручиоца (зграда </w:t>
      </w:r>
      <w:r>
        <w:rPr>
          <w:rFonts w:eastAsia="Verdana" w:ascii="Times New Roman" w:hAnsi="Times New Roman"/>
          <w:color w:val="000000"/>
          <w:sz w:val="24"/>
          <w:szCs w:val="24"/>
          <w:shd w:fill="auto" w:val="clear"/>
          <w:lang w:val="sr-RS" w:eastAsia="sr-Latn-RS"/>
        </w:rPr>
        <w:t>Аутобуске станице предузећа ЈП Аутопревоз Кикинда</w:t>
      </w:r>
      <w:r>
        <w:rPr>
          <w:rFonts w:ascii="Times New Roman" w:hAnsi="Times New Roman"/>
          <w:color w:val="000000"/>
          <w:sz w:val="24"/>
          <w:szCs w:val="24"/>
          <w:shd w:fill="auto" w:val="clear"/>
        </w:rPr>
        <w:t xml:space="preserve">, </w:t>
      </w:r>
      <w:r>
        <w:rPr>
          <w:rFonts w:eastAsia="Verdana" w:ascii="Times New Roman" w:hAnsi="Times New Roman"/>
          <w:color w:val="000000"/>
          <w:sz w:val="24"/>
          <w:szCs w:val="24"/>
          <w:shd w:fill="auto" w:val="clear"/>
          <w:lang w:val="sr-RS" w:eastAsia="sr-Latn-RS"/>
        </w:rPr>
        <w:t>Ђуре Јакшића 2, Кикинда и зграда огранка Турист бироа предузећа ЈП Аутопревоз Кикинда, Трг српских добровољаца 25, Кикинда</w:t>
      </w:r>
      <w:r>
        <w:rPr>
          <w:rFonts w:ascii="Times New Roman" w:hAnsi="Times New Roman"/>
          <w:color w:val="000000"/>
          <w:sz w:val="24"/>
          <w:szCs w:val="24"/>
          <w:shd w:fill="auto" w:val="clear"/>
        </w:rPr>
        <w:t xml:space="preserve">) и изврше мерење сигнала мобилне мреже, а у циљу утврђивања минимума квалитета сигнала и могућности комуникације. </w:t>
      </w:r>
      <w:r>
        <w:rPr>
          <w:rFonts w:eastAsia="Verdana" w:ascii="Times New Roman" w:hAnsi="Times New Roman"/>
          <w:color w:val="000000"/>
          <w:sz w:val="24"/>
          <w:szCs w:val="24"/>
          <w:shd w:fill="auto" w:val="clear"/>
          <w:lang w:val="sr-RS" w:eastAsia="sr-Latn-RS"/>
        </w:rPr>
        <w:t>О</w:t>
      </w:r>
      <w:r>
        <w:rPr>
          <w:rFonts w:ascii="Times New Roman" w:hAnsi="Times New Roman"/>
          <w:color w:val="000000"/>
          <w:sz w:val="24"/>
          <w:szCs w:val="24"/>
          <w:shd w:fill="auto" w:val="clear"/>
        </w:rPr>
        <w:t xml:space="preserve">билазак локације је омогућен </w:t>
      </w:r>
      <w:r>
        <w:rPr>
          <w:rFonts w:eastAsia="Verdana" w:ascii="Times New Roman" w:hAnsi="Times New Roman"/>
          <w:color w:val="000000"/>
          <w:sz w:val="24"/>
          <w:szCs w:val="24"/>
          <w:shd w:fill="auto" w:val="clear"/>
          <w:lang w:val="sr-RS" w:eastAsia="sr-Latn-RS"/>
        </w:rPr>
        <w:t>0</w:t>
      </w:r>
      <w:r>
        <w:rPr>
          <w:rFonts w:eastAsia="Verdana" w:cs="Times New Roman" w:ascii="Times New Roman" w:hAnsi="Times New Roman"/>
          <w:color w:val="000000"/>
          <w:kern w:val="0"/>
          <w:sz w:val="24"/>
          <w:szCs w:val="24"/>
          <w:shd w:fill="auto" w:val="clear"/>
          <w:lang w:val="sr-RS" w:eastAsia="sr-Latn-RS" w:bidi="ar-SA"/>
        </w:rPr>
        <w:t>2</w:t>
      </w:r>
      <w:r>
        <w:rPr>
          <w:rFonts w:ascii="Times New Roman" w:hAnsi="Times New Roman"/>
          <w:color w:val="000000"/>
          <w:sz w:val="24"/>
          <w:szCs w:val="24"/>
          <w:shd w:fill="auto" w:val="clear"/>
        </w:rPr>
        <w:t xml:space="preserve">.11.2021.године у периоду од 10 часова до 13 часова. </w:t>
      </w:r>
      <w:r>
        <w:rPr>
          <w:rFonts w:eastAsia="Verdana" w:ascii="Times New Roman" w:hAnsi="Times New Roman"/>
          <w:color w:val="000000"/>
          <w:sz w:val="24"/>
          <w:szCs w:val="24"/>
          <w:shd w:fill="auto" w:val="clear"/>
          <w:lang w:val="sr-RS" w:eastAsia="sr-Latn-RS"/>
        </w:rPr>
        <w:t>П</w:t>
      </w:r>
      <w:r>
        <w:rPr>
          <w:rFonts w:ascii="Times New Roman" w:hAnsi="Times New Roman"/>
          <w:color w:val="000000"/>
          <w:sz w:val="24"/>
          <w:szCs w:val="24"/>
          <w:shd w:fill="auto" w:val="clear"/>
        </w:rPr>
        <w:t xml:space="preserve">риликом обиласка потребно је сачинити извештај о мерењу сигнала и те резултате уписати у потврду наручиоца и исту приложити уз понуду, такође понуђач је дужан да приложи пуномоћје за особу која ће испред понуђача извршити мерења, при чему потврду обиласка локације оверава особа која испред понуђача врши мерења сигнала као и представник </w:t>
      </w:r>
      <w:r>
        <w:rPr>
          <w:rFonts w:ascii="Times New Roman" w:hAnsi="Times New Roman"/>
          <w:bCs/>
          <w:color w:val="000000"/>
          <w:sz w:val="24"/>
          <w:szCs w:val="24"/>
          <w:shd w:fill="auto" w:val="clear"/>
          <w:lang w:val="sr-RS"/>
        </w:rPr>
        <w:t xml:space="preserve">наручиоца. </w:t>
      </w:r>
      <w:r>
        <w:rPr>
          <w:rFonts w:cs="Times New Roman" w:ascii="Times New Roman" w:hAnsi="Times New Roman"/>
          <w:b w:val="false"/>
          <w:bCs w:val="false"/>
          <w:color w:val="000000"/>
          <w:sz w:val="22"/>
          <w:szCs w:val="22"/>
          <w:u w:val="none" w:color="FFFFFF"/>
          <w:shd w:fill="auto" w:val="clear"/>
          <w:lang w:val="sr-RS"/>
        </w:rPr>
        <w:t xml:space="preserve"> </w:t>
      </w:r>
      <w:r>
        <w:rPr>
          <w:rFonts w:cs="Times New Roman" w:ascii="Times New Roman" w:hAnsi="Times New Roman"/>
          <w:b w:val="false"/>
          <w:bCs w:val="false"/>
          <w:color w:val="000000"/>
          <w:sz w:val="24"/>
          <w:szCs w:val="24"/>
          <w:u w:val="none" w:color="FFFFFF"/>
          <w:shd w:fill="auto" w:val="clear"/>
          <w:lang w:val="sr-RS"/>
        </w:rPr>
        <w:t xml:space="preserve">Привредни  субјекти су дужни да обилазак   најаве најмање 1 (један) дан пре датума обиласка (заказаног термина). Пријаве се достављају на е-mail адресу: </w:t>
      </w:r>
      <w:r>
        <w:rPr>
          <w:rFonts w:eastAsia="Verdana" w:cs="Times New Roman" w:ascii="Times New Roman" w:hAnsi="Times New Roman"/>
          <w:b w:val="false"/>
          <w:bCs w:val="false"/>
          <w:color w:val="000000"/>
          <w:sz w:val="24"/>
          <w:szCs w:val="24"/>
          <w:u w:val="none" w:color="FFFFFF"/>
          <w:shd w:fill="auto" w:val="clear"/>
          <w:lang w:val="sr-Latn-RS" w:eastAsia="sr-Latn-RS"/>
        </w:rPr>
        <w:t>alukic</w:t>
      </w:r>
      <w:r>
        <w:rPr>
          <w:rFonts w:cs="Times New Roman" w:ascii="Times New Roman" w:hAnsi="Times New Roman"/>
          <w:b w:val="false"/>
          <w:bCs w:val="false"/>
          <w:color w:val="000000"/>
          <w:sz w:val="24"/>
          <w:szCs w:val="24"/>
          <w:u w:val="none" w:color="FFFFFF"/>
          <w:shd w:fill="auto" w:val="clear"/>
          <w:lang w:val="sr-RS"/>
        </w:rPr>
        <w:t>@</w:t>
      </w:r>
      <w:r>
        <w:rPr>
          <w:rFonts w:eastAsia="Verdana" w:cs="Times New Roman" w:ascii="Times New Roman" w:hAnsi="Times New Roman"/>
          <w:b w:val="false"/>
          <w:bCs w:val="false"/>
          <w:color w:val="000000"/>
          <w:sz w:val="24"/>
          <w:szCs w:val="24"/>
          <w:u w:val="none" w:color="FFFFFF"/>
          <w:shd w:fill="auto" w:val="clear"/>
          <w:lang w:val="sr-Latn-RS" w:eastAsia="sr-Latn-RS"/>
        </w:rPr>
        <w:t>autoprevozkikinda</w:t>
      </w:r>
      <w:r>
        <w:rPr>
          <w:rFonts w:cs="Times New Roman" w:ascii="Times New Roman" w:hAnsi="Times New Roman"/>
          <w:b w:val="false"/>
          <w:bCs w:val="false"/>
          <w:color w:val="000000"/>
          <w:sz w:val="24"/>
          <w:szCs w:val="24"/>
          <w:u w:val="none" w:color="FFFFFF"/>
          <w:shd w:fill="auto" w:val="clear"/>
          <w:lang w:val="sr-RS"/>
        </w:rPr>
        <w:t xml:space="preserve">.rs,  са назнаком за ЈН број </w:t>
      </w:r>
      <w:r>
        <w:rPr>
          <w:rFonts w:eastAsia="Verdana" w:cs="Times New Roman" w:ascii="Times New Roman" w:hAnsi="Times New Roman"/>
          <w:b w:val="false"/>
          <w:bCs w:val="false"/>
          <w:color w:val="000000"/>
          <w:sz w:val="24"/>
          <w:szCs w:val="24"/>
          <w:u w:val="none" w:color="FFFFFF"/>
          <w:shd w:fill="auto" w:val="clear"/>
          <w:lang w:val="sr-Latn-RS" w:eastAsia="sr-Latn-RS"/>
        </w:rPr>
        <w:t>06</w:t>
      </w:r>
      <w:r>
        <w:rPr>
          <w:rFonts w:cs="Times New Roman" w:ascii="Times New Roman" w:hAnsi="Times New Roman"/>
          <w:b w:val="false"/>
          <w:bCs w:val="false"/>
          <w:color w:val="000000"/>
          <w:sz w:val="24"/>
          <w:szCs w:val="24"/>
          <w:u w:val="none" w:color="FFFFFF"/>
          <w:shd w:fill="auto" w:val="clear"/>
          <w:lang w:val="sr-RS"/>
        </w:rPr>
        <w:t>/202</w:t>
      </w:r>
      <w:r>
        <w:rPr>
          <w:rFonts w:eastAsia="Verdana" w:cs="Times New Roman" w:ascii="Times New Roman" w:hAnsi="Times New Roman"/>
          <w:b w:val="false"/>
          <w:bCs w:val="false"/>
          <w:color w:val="000000"/>
          <w:sz w:val="24"/>
          <w:szCs w:val="24"/>
          <w:u w:val="none" w:color="FFFFFF"/>
          <w:shd w:fill="auto" w:val="clear"/>
          <w:lang w:val="sr-Latn-RS" w:eastAsia="sr-Latn-RS"/>
        </w:rPr>
        <w:t>1</w:t>
      </w:r>
      <w:r>
        <w:rPr>
          <w:rFonts w:cs="Times New Roman" w:ascii="Times New Roman" w:hAnsi="Times New Roman"/>
          <w:b w:val="false"/>
          <w:bCs w:val="false"/>
          <w:color w:val="000000"/>
          <w:sz w:val="24"/>
          <w:szCs w:val="24"/>
          <w:u w:val="none" w:color="FFFFFF"/>
          <w:shd w:fill="auto" w:val="clear"/>
          <w:lang w:val="sr-RS"/>
        </w:rPr>
        <w:t xml:space="preserve"> – услуге моб.</w:t>
      </w:r>
      <w:r>
        <w:rPr>
          <w:rFonts w:cs="Times New Roman" w:ascii="Times New Roman" w:hAnsi="Times New Roman"/>
          <w:b w:val="false"/>
          <w:bCs w:val="false"/>
          <w:color w:val="C9211E"/>
          <w:sz w:val="24"/>
          <w:szCs w:val="24"/>
          <w:u w:val="none" w:color="FFFFFF"/>
          <w:shd w:fill="auto" w:val="clear"/>
          <w:lang w:val="sr-RS"/>
        </w:rPr>
        <w:t xml:space="preserve"> </w:t>
      </w:r>
      <w:r>
        <w:rPr>
          <w:rFonts w:cs="Times New Roman" w:ascii="Times New Roman" w:hAnsi="Times New Roman"/>
          <w:b w:val="false"/>
          <w:bCs w:val="false"/>
          <w:color w:val="000000"/>
          <w:sz w:val="24"/>
          <w:szCs w:val="24"/>
          <w:u w:val="none" w:color="FFFFFF"/>
          <w:shd w:fill="auto" w:val="clear"/>
          <w:lang w:val="sr-RS"/>
        </w:rPr>
        <w:t xml:space="preserve">телефоније.  Приликом обиласка потребно је приложити и  пуномоћје за особу која ће за привредног субјекта извршити мерење. </w:t>
      </w:r>
      <w:r>
        <w:rPr>
          <w:rFonts w:eastAsia="Calibri-Bold" w:cs="Times New Roman" w:ascii="Times New Roman" w:hAnsi="Times New Roman"/>
          <w:b w:val="false"/>
          <w:bCs w:val="false"/>
          <w:color w:val="000000"/>
          <w:sz w:val="24"/>
          <w:szCs w:val="24"/>
          <w:shd w:fill="auto" w:val="clear"/>
          <w:lang w:val="sr-RS"/>
        </w:rPr>
        <w:t>Резултати мерења сигнала уписаће се у потврди Наручиоца. Потврду потписују представник наручиоца и представник привредног субјекта. Потписана и оверена потврду  се  доставља уз понуду.</w:t>
      </w:r>
    </w:p>
    <w:p>
      <w:pPr>
        <w:pStyle w:val="BodyText1"/>
        <w:numPr>
          <w:ilvl w:val="0"/>
          <w:numId w:val="3"/>
        </w:numPr>
        <w:shd w:val="clear" w:fill="FFFFFF"/>
        <w:tabs>
          <w:tab w:val="clear" w:pos="720"/>
          <w:tab w:val="left" w:pos="385" w:leader="none"/>
        </w:tabs>
        <w:spacing w:lineRule="auto" w:line="276" w:before="0" w:after="38"/>
        <w:ind w:left="720" w:right="27" w:hanging="360"/>
        <w:rPr>
          <w:shd w:fill="auto" w:val="clear"/>
        </w:rPr>
      </w:pPr>
      <w:r>
        <w:rPr>
          <w:rFonts w:ascii="Times New Roman" w:hAnsi="Times New Roman"/>
          <w:sz w:val="24"/>
          <w:szCs w:val="24"/>
          <w:shd w:fill="auto" w:val="clear"/>
          <w:lang w:val="sr-CS"/>
        </w:rPr>
        <w:t>Понуђач је дужан да обезбеди покривеност задовољавајућим нивоом (јачином) сигнала на свим локацијама Наручиоца.</w:t>
      </w:r>
    </w:p>
    <w:p>
      <w:pPr>
        <w:pStyle w:val="BodyText1"/>
        <w:numPr>
          <w:ilvl w:val="0"/>
          <w:numId w:val="3"/>
        </w:numPr>
        <w:shd w:val="clear" w:fill="FFFFFF"/>
        <w:tabs>
          <w:tab w:val="clear" w:pos="720"/>
          <w:tab w:val="left" w:pos="385" w:leader="none"/>
        </w:tabs>
        <w:spacing w:lineRule="auto" w:line="276" w:before="0" w:after="38"/>
        <w:ind w:left="720" w:right="27" w:hanging="360"/>
        <w:rPr>
          <w:shd w:fill="auto" w:val="clear"/>
        </w:rPr>
      </w:pPr>
      <w:r>
        <w:rPr>
          <w:rFonts w:ascii="Times New Roman" w:hAnsi="Times New Roman"/>
          <w:sz w:val="24"/>
          <w:szCs w:val="24"/>
          <w:shd w:fill="auto" w:val="clear"/>
          <w:lang w:val="sr-CS"/>
        </w:rPr>
        <w:t>Уколико понуђач нема задовољавајући квалитет сигнала, у обавези је да пре достављања понуде обезбеди задовољавајући квалитет сигнала мобилне телефоније.</w:t>
      </w:r>
    </w:p>
    <w:p>
      <w:pPr>
        <w:pStyle w:val="BodyText1"/>
        <w:numPr>
          <w:ilvl w:val="0"/>
          <w:numId w:val="4"/>
        </w:numPr>
        <w:shd w:val="clear" w:fill="FFFFFF"/>
        <w:tabs>
          <w:tab w:val="clear" w:pos="720"/>
          <w:tab w:val="left" w:pos="385" w:leader="none"/>
        </w:tabs>
        <w:spacing w:lineRule="auto" w:line="276" w:before="0" w:after="38"/>
        <w:ind w:left="720" w:right="27" w:hanging="360"/>
        <w:rPr>
          <w:shd w:fill="auto" w:val="clear"/>
        </w:rPr>
      </w:pPr>
      <w:r>
        <w:rPr>
          <w:rFonts w:ascii="Times New Roman" w:hAnsi="Times New Roman"/>
          <w:sz w:val="24"/>
          <w:szCs w:val="24"/>
          <w:shd w:fill="auto" w:val="clear"/>
          <w:lang w:val="sr-CS"/>
        </w:rPr>
        <w:t xml:space="preserve">У случају подношења понуде без Извештаја о мерењу сигнала као и у случају непокривености сигналом </w:t>
      </w:r>
      <w:r>
        <w:rPr>
          <w:rFonts w:ascii="Times New Roman" w:hAnsi="Times New Roman"/>
          <w:sz w:val="24"/>
          <w:szCs w:val="24"/>
          <w:shd w:fill="auto" w:val="clear"/>
        </w:rPr>
        <w:t>локација</w:t>
      </w:r>
      <w:r>
        <w:rPr>
          <w:rFonts w:ascii="Times New Roman" w:hAnsi="Times New Roman"/>
          <w:sz w:val="24"/>
          <w:szCs w:val="24"/>
          <w:shd w:fill="auto" w:val="clear"/>
          <w:lang w:val="sr-CS"/>
        </w:rPr>
        <w:t>, понуде ће бити одбијене као неприхватљиве.</w:t>
      </w:r>
      <w:r>
        <w:rPr>
          <w:rFonts w:ascii="Times New Roman" w:hAnsi="Times New Roman"/>
          <w:sz w:val="24"/>
          <w:szCs w:val="24"/>
          <w:shd w:fill="auto" w:val="clear"/>
        </w:rPr>
        <w:t xml:space="preserve"> </w:t>
      </w:r>
    </w:p>
    <w:p>
      <w:pPr>
        <w:pStyle w:val="BodyText1"/>
        <w:numPr>
          <w:ilvl w:val="0"/>
          <w:numId w:val="4"/>
        </w:numPr>
        <w:shd w:val="clear" w:fill="FFFFFF"/>
        <w:tabs>
          <w:tab w:val="clear" w:pos="720"/>
          <w:tab w:val="left" w:pos="385" w:leader="none"/>
        </w:tabs>
        <w:spacing w:lineRule="auto" w:line="276" w:before="0" w:after="38"/>
        <w:ind w:left="720" w:right="27" w:hanging="360"/>
        <w:rPr>
          <w:shd w:fill="auto" w:val="clear"/>
        </w:rPr>
      </w:pPr>
      <w:r>
        <w:rPr>
          <w:rFonts w:ascii="Times New Roman" w:hAnsi="Times New Roman"/>
          <w:sz w:val="24"/>
          <w:szCs w:val="24"/>
          <w:shd w:fill="auto" w:val="clear"/>
        </w:rPr>
        <w:t>Наручилац задржава право да склопи уговор са првим следећим понуђачем, у случају да понуду са најнижом понуђеном ценом да понуђач за којег се установи да није у стању да обезбеди минимум квалитета сигнала који је довољан за нормално обављање комуникације</w:t>
      </w:r>
      <w:r>
        <w:rPr>
          <w:rFonts w:ascii="Times New Roman" w:hAnsi="Times New Roman"/>
          <w:sz w:val="24"/>
          <w:szCs w:val="24"/>
          <w:shd w:fill="auto" w:val="clear"/>
          <w:lang w:val="sr-CS"/>
        </w:rPr>
        <w:t>.</w:t>
      </w:r>
    </w:p>
    <w:p>
      <w:pPr>
        <w:pStyle w:val="Normal"/>
        <w:tabs>
          <w:tab w:val="clear" w:pos="720"/>
          <w:tab w:val="left" w:pos="600" w:leader="none"/>
          <w:tab w:val="left" w:pos="9639" w:leader="none"/>
        </w:tabs>
        <w:spacing w:before="0" w:after="120"/>
        <w:ind w:left="-362" w:right="-74" w:hanging="0"/>
        <w:jc w:val="both"/>
        <w:rPr>
          <w:b/>
          <w:b/>
          <w:bCs/>
          <w:shd w:fill="auto" w:val="clear"/>
          <w:lang w:val="sr-Latn-RS" w:eastAsia="en-US"/>
        </w:rPr>
      </w:pPr>
      <w:r>
        <w:rPr>
          <w:b/>
          <w:bCs/>
          <w:shd w:fill="auto" w:val="clear"/>
          <w:lang w:val="sr-Latn-RS" w:eastAsia="en-US"/>
        </w:rPr>
      </w:r>
    </w:p>
    <w:p>
      <w:pPr>
        <w:pStyle w:val="Normal"/>
        <w:spacing w:lineRule="auto" w:line="276"/>
        <w:jc w:val="both"/>
        <w:rPr>
          <w:shd w:fill="auto" w:val="clear"/>
        </w:rPr>
      </w:pPr>
      <w:r>
        <w:rPr>
          <w:bCs/>
          <w:shd w:fill="auto" w:val="clear"/>
          <w:lang w:val="sr-Latn-RS" w:eastAsia="en-US"/>
        </w:rPr>
        <w:t>Врста и ниво квалитета услуга мобилне телефоније морају бити у складу са Законом о електронским телекомуникацијама, Правилником о општим условима за обављање делатности електронских комуникација по режиму општег овлашћења, као и другим прописима и подзаконским актима којим се регулише област електронских телекомуникација. Понуђач мора пружати предметну услугу у складу са условима који произилазе из одговарајуће лиценце за јавну мобилну телекомуникациону мрежу и услуге јавне мобилне телекомуникационе мреже које је издала Републичка агенција за електронске комуникације за територију Републике Србије.</w:t>
      </w:r>
    </w:p>
    <w:p>
      <w:pPr>
        <w:pStyle w:val="Normal"/>
        <w:tabs>
          <w:tab w:val="clear" w:pos="720"/>
          <w:tab w:val="left" w:pos="600" w:leader="none"/>
          <w:tab w:val="left" w:pos="9639" w:leader="none"/>
        </w:tabs>
        <w:spacing w:before="0" w:after="120"/>
        <w:ind w:left="-362" w:right="-74" w:hanging="0"/>
        <w:jc w:val="both"/>
        <w:rPr>
          <w:shd w:fill="auto" w:val="clear"/>
        </w:rPr>
      </w:pPr>
      <w:r>
        <w:rPr>
          <w:bCs/>
          <w:shd w:fill="auto" w:val="clear"/>
          <w:lang w:val="sr-Latn-RS" w:eastAsia="en-US"/>
        </w:rPr>
        <w:t>.</w:t>
      </w:r>
    </w:p>
    <w:p>
      <w:pPr>
        <w:pStyle w:val="Normal"/>
        <w:ind w:left="360" w:hanging="0"/>
        <w:jc w:val="both"/>
        <w:rPr/>
      </w:pPr>
      <w:r>
        <w:rPr/>
      </w:r>
    </w:p>
    <w:sectPr>
      <w:type w:val="nextPage"/>
      <w:pgSz w:w="11906" w:h="16838"/>
      <w:pgMar w:left="1418" w:right="1418"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Verdana">
    <w:charset w:val="00"/>
    <w:family w:val="roman"/>
    <w:pitch w:val="variable"/>
  </w:font>
  <w:font w:name="Ubuntu">
    <w:charset w:val="00"/>
    <w:family w:val="roman"/>
    <w:pitch w:val="variable"/>
  </w:font>
  <w:font w:name="Calibri">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0"/>
        </w:tabs>
        <w:ind w:left="0" w:hanging="0"/>
      </w:pPr>
      <w:rPr>
        <w:smallCaps w:val="false"/>
        <w:caps w:val="false"/>
        <w:dstrike w:val="false"/>
        <w:strike w:val="false"/>
        <w:sz w:val="24"/>
        <w:spacing w:val="0"/>
        <w:i w:val="false"/>
        <w:u w:val="none"/>
        <w:b w:val="false"/>
        <w:effect w:val="none"/>
        <w:szCs w:val="24"/>
        <w:iCs w:val="false"/>
        <w:bCs w:val="false"/>
        <w:w w:val="100"/>
        <w:color w:val="000000"/>
      </w:r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0"/>
        </w:tabs>
        <w:ind w:left="0" w:hanging="0"/>
      </w:pPr>
      <w:rPr>
        <w:smallCaps w:val="false"/>
        <w:caps w:val="false"/>
        <w:dstrike w:val="false"/>
        <w:strike w:val="false"/>
        <w:sz w:val="24"/>
        <w:spacing w:val="0"/>
        <w:i w:val="false"/>
        <w:u w:val="none"/>
        <w:b w:val="false"/>
        <w:effect w:val="none"/>
        <w:szCs w:val="24"/>
        <w:iCs w:val="false"/>
        <w:bCs w:val="false"/>
        <w:w w:val="100"/>
        <w:color w:val="000000"/>
      </w:r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360"/>
        </w:tabs>
        <w:ind w:left="72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embedSystemFonts/>
  <w:defaultTabStop w:val="720"/>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sr-Latn-RS" w:eastAsia="sr-Latn-R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eastAsia="Calibri" w:cs="Symbol"/>
      <w:color w:val="000000"/>
      <w:kern w:val="2"/>
      <w:sz w:val="24"/>
      <w:szCs w:val="24"/>
      <w:lang w:val="sr-Latn-RS" w:eastAsia="sr-Latn-RS" w:bidi="ar-SA"/>
    </w:rPr>
  </w:style>
  <w:style w:type="character" w:styleId="WW8Num2z0" w:customStyle="1">
    <w:name w:val="WW8Num2z0"/>
    <w:qFormat/>
    <w:rPr>
      <w:rFonts w:ascii="Symbol" w:hAnsi="Symbol" w:cs="Symbol"/>
      <w:color w:val="000000"/>
      <w:sz w:val="24"/>
      <w:szCs w:val="24"/>
      <w:lang w:val="sr-RS"/>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eastAsia="Arial Unicode MS"/>
      <w:bCs/>
      <w:iCs/>
      <w:kern w:val="2"/>
      <w:lang w:val="sr-Latn-RS" w:eastAsia="ar-SA"/>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DefaultParagraphFont" w:customStyle="1">
    <w:name w:val="WW-Default Paragraph Font"/>
    <w:qFormat/>
    <w:rPr/>
  </w:style>
  <w:style w:type="character" w:styleId="InternetLink">
    <w:name w:val="Hyperlink"/>
    <w:rPr>
      <w:color w:val="0000FF"/>
      <w:u w:val="single"/>
    </w:rPr>
  </w:style>
  <w:style w:type="character" w:styleId="VisitedInternetLink">
    <w:name w:val="FollowedHyperlink"/>
    <w:rPr>
      <w:color w:val="800080"/>
      <w:u w:val="single"/>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8z0" w:customStyle="1">
    <w:name w:val="WW8Num8z0"/>
    <w:qFormat/>
    <w:rPr>
      <w:rFonts w:eastAsia="Arial Unicode MS"/>
      <w:kern w:val="2"/>
      <w:lang w:val="sr-Latn-RS" w:eastAsia="ar-SA"/>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18z0" w:customStyle="1">
    <w:name w:val="WW8Num18z0"/>
    <w:qFormat/>
    <w:rPr>
      <w:rFonts w:ascii="Symbol" w:hAnsi="Symbol" w:cs="Symbol"/>
      <w:lang w:val="sr-Latn-RS"/>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34z0" w:customStyle="1">
    <w:name w:val="WW8Num34z0"/>
    <w:qFormat/>
    <w:rPr>
      <w:rFonts w:eastAsia="Calibri"/>
      <w:lang w:val="sr-Latn-RS"/>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9z0" w:customStyle="1">
    <w:name w:val="WW8Num9z0"/>
    <w:qFormat/>
    <w:rPr>
      <w:rFonts w:ascii="Symbol" w:hAnsi="Symbol" w:cs="Symbol"/>
      <w:lang w:val="sr-RS"/>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Bodytext" w:customStyle="1">
    <w:name w:val="Body text_"/>
    <w:link w:val="BodyText1"/>
    <w:qFormat/>
    <w:locked/>
    <w:rsid w:val="0091210c"/>
    <w:rPr>
      <w:rFonts w:ascii="Verdana" w:hAnsi="Verdana" w:eastAsia="Verdana"/>
      <w:sz w:val="23"/>
      <w:szCs w:val="23"/>
      <w:shd w:fill="FFFFFF" w:val="clear"/>
    </w:rPr>
  </w:style>
  <w:style w:type="paragraph" w:styleId="Heading" w:customStyle="1">
    <w:name w:val="Heading"/>
    <w:basedOn w:val="Normal"/>
    <w:next w:val="TextBody"/>
    <w:qFormat/>
    <w:pPr>
      <w:keepNext w:val="true"/>
      <w:spacing w:before="240" w:after="120"/>
    </w:pPr>
    <w:rPr>
      <w:rFonts w:ascii="Ubuntu" w:hAnsi="Ubuntu"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Ubuntu" w:hAnsi="Ubuntu"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ascii="Ubuntu" w:hAnsi="Ubuntu" w:cs="Mangal"/>
    </w:rPr>
  </w:style>
  <w:style w:type="paragraph" w:styleId="Caption1">
    <w:name w:val="caption"/>
    <w:basedOn w:val="Normal"/>
    <w:qFormat/>
    <w:pPr>
      <w:suppressLineNumbers/>
      <w:spacing w:before="120" w:after="120"/>
    </w:pPr>
    <w:rPr>
      <w:rFonts w:ascii="Ubuntu" w:hAnsi="Ubuntu" w:cs="Mangal"/>
      <w:i/>
      <w:iCs/>
    </w:rPr>
  </w:style>
  <w:style w:type="paragraph" w:styleId="HeaderandFooter" w:customStyle="1">
    <w:name w:val="Header and Footer"/>
    <w:basedOn w:val="Normal"/>
    <w:qFormat/>
    <w:pPr>
      <w:suppressLineNumbers/>
      <w:tabs>
        <w:tab w:val="clear" w:pos="720"/>
        <w:tab w:val="center" w:pos="4819" w:leader="none"/>
        <w:tab w:val="right" w:pos="9638" w:leader="none"/>
      </w:tabs>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ListParagraph">
    <w:name w:val="List Paragraph"/>
    <w:basedOn w:val="Normal"/>
    <w:qFormat/>
    <w:pPr>
      <w:spacing w:lineRule="auto" w:line="276" w:before="0" w:after="200"/>
      <w:ind w:left="720" w:hanging="0"/>
      <w:contextualSpacing/>
    </w:pPr>
    <w:rPr>
      <w:rFonts w:ascii="Calibri" w:hAnsi="Calibri" w:eastAsia="Calibri"/>
      <w:sz w:val="22"/>
      <w:szCs w:val="22"/>
    </w:rPr>
  </w:style>
  <w:style w:type="paragraph" w:styleId="TableContents" w:customStyle="1">
    <w:name w:val="Table Contents"/>
    <w:basedOn w:val="Normal"/>
    <w:qFormat/>
    <w:pPr>
      <w:widowControl w:val="false"/>
      <w:suppressLineNumbers/>
    </w:pPr>
    <w:rPr/>
  </w:style>
  <w:style w:type="paragraph" w:styleId="TableHeading" w:customStyle="1">
    <w:name w:val="Table Heading"/>
    <w:basedOn w:val="TableContents"/>
    <w:qFormat/>
    <w:pPr>
      <w:jc w:val="center"/>
    </w:pPr>
    <w:rPr>
      <w:b/>
      <w:bCs/>
    </w:rPr>
  </w:style>
  <w:style w:type="paragraph" w:styleId="Default" w:customStyle="1">
    <w:name w:val="Default"/>
    <w:qFormat/>
    <w:rsid w:val="0091210c"/>
    <w:pPr>
      <w:widowControl/>
      <w:suppressAutoHyphens w:val="true"/>
      <w:bidi w:val="0"/>
      <w:spacing w:before="0" w:after="0"/>
      <w:jc w:val="left"/>
    </w:pPr>
    <w:rPr>
      <w:rFonts w:ascii="Arial" w:hAnsi="Arial" w:eastAsia="Times New Roman" w:cs="Arial"/>
      <w:color w:val="000000"/>
      <w:kern w:val="0"/>
      <w:sz w:val="24"/>
      <w:szCs w:val="24"/>
      <w:lang w:val="sr-Latn-CS" w:eastAsia="sr-Latn-CS" w:bidi="ar-SA"/>
    </w:rPr>
  </w:style>
  <w:style w:type="paragraph" w:styleId="BodyText1" w:customStyle="1">
    <w:name w:val="Body Text1"/>
    <w:basedOn w:val="Normal"/>
    <w:link w:val="Bodytext0"/>
    <w:qFormat/>
    <w:rsid w:val="0091210c"/>
    <w:pPr>
      <w:shd w:val="clear" w:color="auto" w:fill="FFFFFF"/>
      <w:suppressAutoHyphens w:val="false"/>
      <w:spacing w:lineRule="exact" w:line="288" w:before="0" w:after="300"/>
      <w:ind w:hanging="2120"/>
      <w:jc w:val="both"/>
    </w:pPr>
    <w:rPr>
      <w:rFonts w:ascii="Verdana" w:hAnsi="Verdana" w:eastAsia="Verdana"/>
      <w:sz w:val="23"/>
      <w:szCs w:val="23"/>
      <w:lang w:val="sr-Latn-RS" w:eastAsia="sr-Latn-R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LibreOffice/7.0.3.1$Windows_x86 LibreOffice_project/d7547858d014d4cf69878db179d326fc3483e082</Application>
  <Pages>5</Pages>
  <Words>1340</Words>
  <Characters>7528</Characters>
  <CharactersWithSpaces>8744</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2021-10-24T18:02:00Z</dcterms:created>
  <dc:creator/>
  <dc:description/>
  <cp:keywords>Klasifikacija Klasifikacija Klasifikacija Klasifikacija Klasifikacija Klasifikacija Klasifikacija Nije poslovna tajna</cp:keywords>
  <dc:language>sr-Latn-RS</dc:language>
  <cp:lastModifiedBy/>
  <cp:lastPrinted>2021-10-25T12:58:36Z</cp:lastPrinted>
  <dcterms:modified xsi:type="dcterms:W3CDTF">2021-10-26T11:58:46Z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y fmtid="{D5CDD505-2E9C-101B-9397-08002B2CF9AE}" pid="8" name="TelekomSerbiaKLASIFIKACIJA">
    <vt:lpwstr>NijePoslovnaTajna</vt:lpwstr>
  </property>
  <property fmtid="{D5CDD505-2E9C-101B-9397-08002B2CF9AE}" pid="9" name="TitusGUID">
    <vt:lpwstr>5f0f5325-6a1f-4c61-955f-2aa9d5475915</vt:lpwstr>
  </property>
</Properties>
</file>